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2007/422 vom 21. Januar 2009</w:t>
      </w:r>
    </w:p>
    <w:p>
      <w:r>
        <w:t>Sg Versicherungsgericht, 2009-01-21, DE</w:t>
      </w:r>
    </w:p>
    <w:p>
      <w:r>
        <w:rPr>
          <w:b/>
        </w:rPr>
        <w:t xml:space="preserve">Quelle: </w:t>
      </w:r>
      <w:r>
        <w:t>https://mcp.opencaselaw.ch/entscheid/sg_publikationen_IV 2007_422</w:t>
      </w:r>
    </w:p>
    <w:p>
      <w:r>
        <w:t>FR: SG_VERSICHERUNGSGERICHT IV 2007/422 du 21 janvier 2009</w:t>
      </w:r>
    </w:p>
    <w:p>
      <w:r>
        <w:t>IT: SG_VERSICHERUNGSGERICHT IV 2007/422 del 21 gennaio 2009</w:t>
      </w:r>
    </w:p>
    <w:p>
      <w:pPr>
        <w:pStyle w:val="Heading2"/>
      </w:pPr>
      <w:r>
        <w:t>Regeste</w:t>
      </w:r>
    </w:p>
    <w:p>
      <w:r>
        <w:t>Art. 17 Abs. 1 ATSG; Art. 28 Abs. 2ter IVG (Fassung bis 31. Dezember 2007). Frage des Statuswechsels einer bei Rentenzusprache als vollerwerbstätig qualifizierten Versicherten nach der Geburt eines Kindes. Ein Revisionsgrund ist nur gegeben, wenn zwingende Gründe für die Umqualifikation zur teilerwerbstätigen Hausfrau sprechen. Die IV-Stelle hat sorgfältig abzuklären, ob die Versicherte als gesunde Mutter erwerbstätig geblieben wäre und wenn ja, in welchem Ausmass (Entscheid des Versicherungsgerichts des Kantons St. Gallen vom 21. Januar 2009, IV 2007/422).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2. Oktober 2007 eingetretenen Sachverhalt abzustellen ist (BGE 121 V 366 Erw. 1b), sind auf die angefochtene Verfügungdie bis zum 31. Dezember 2007 geltenden materiellen Bestimmungen anzuwenden.</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2.2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Erw. 2c; BGE 117 V 194 f. Erw. 3b mit Hinweisen; AHI 1997 S. 288 ff. Erw. 2b, AHI 1996 S. 197 Erw. 1c, je mit Hinweisen; Ulrich Meyer-Blaser, Die Rechtsprechung des Bundesgerichts zum IVG, Zürich 1997, S. 28). Der Richter hat jener Sachverhaltsdarstellung zu folgen, die er von allen möglichen Geschehensabläufen unter den gegebenen Umständen als die wahrscheinlichste würdigt (BGE 121 V 47 Erw. 2a). Dabei sind die konkrete Situation und die Vorbringen der Versicherten nach Massgabe der allgemeinen Lebenserfahrung zu würdigen (ZAK 1985 S. 468 Erw. 1). 2.3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IV-Rente ist nicht nur bei einer wesentlichen Veränderung des Gesundheitszustands, sondern auch dann revidierbar, wenn sich die erwerblichen Auswirkungen des an sich gleich gebliebenen Gesundheitszustandes erheblich verändert haben (BGE 130 V 349 f. Erw. 3.5).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den Entscheid IV 2006/57 des Versicherungsgerichts des Kantons St. Gallen vom 4. April 2007, Erw. 1a). 2.4  Ein Methodenwechsel darf nach der älteren Praxis nur vorgenommen werden, wenn er zwingend notwendig ist (vgl. ZAK 1969 S. 745; BGE 104 V 149 Erw. 2). Das ist auch heute noch zu postulieren (vgl. Gabriela Riemer-Kafka, Veränderungen der familiären Verhältnisse als Rentenrevisionsgrund in der IV, in: René Schaffhauser/Franz Schlauri [Hg.], Die Revision von Dauerleistungen in der Sozialversicherung, St. Gallen 1999,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Erw. 3b) geschlossen. Auf eine allgemeine Erfahrung über das Verhalten der Mütter nach der Geburt von Kindern lässt sich indessen heute nicht mehr zurückgreifen (Riemer-Kafka, a.a.O., S. 93 ff., S. 115 und 116). Auf eindeutige Lebensentwürfe und Lebenserfahrungen ist in der modernen Gesellschaft mit gleichen Chancen für unterschiedlichste Arten beruflichen Fortkommens immer weniger Verlass. Darum ist es gerechtfertigt, den Methodenwechsel nur bei triftigen Gründen zuzulassen, etwa wenn nach einer eindeutigen (hypothetischen) Sachlage ein Festhalten an der bisherigen Methode missbräuchlich wäre (vgl. die Entscheide IV 2001/3 des Versicherungsgerichts des Kantons St. Gallen vom 25. Oktober 2001, Erw. 3e; IV 2006/214 vom 18. Februar 2008, Erw. 3.5; IV 2008/268 vom 17. Juli 2008, Erw. 2.4). 2.5  Vorliegend wurde im Abklärungsbericht Haushalt vom 21. August 2007 darauf hingewiesen, die Beschwerdeführerin würde als Gesunde seit der Geburt ihres Kindes im Februar 2006 während zwei Tagen pro Woche einer Erwerbstätigkeit nachgehen. Die Mutter und die Schwiegermutter würden in dieser Zeit auf den Sohn aufpassen. Die Versicherte würde mit ihrem Nebenverdienst gern etwas zum Haushaltungsgeld beitragen und es würde ihr eine gewisse Selbstständigkeit verleihen sowie zur Stärkung des Selbstwertgefühls beitragen (IV-act. 76-4). Die Beschwerdeführerin weigerte sich jedoch, den Abklärungsbericht zu unterzeichnen (vgl. IV-act. 76-14). Somit fehlt auch jegliche Bestätigung der Angaben zu ihrem Status. Der Rechtsvertreter der Beschwerdeführerin ging in der Beschwerde zwar auch von einer Aufteilung Erwerb/Haushalt von 40%/60% aus; den Akten lässt sich jedoch nicht entnehmen, dass er die Beschwerdeführerin eingehend zu diesem Punkt befragt hätte. Da eine Umqualifizierung der Beschwerdeführerin wie erläutert nur erfolgen darf, wenn zwingende Gründe dies erforderlich machen, ist den Abklärungen zur Statusfrage besondere Sorgfalt zu widmen. Dr. med. C.___ hatte in einem Arztbericht vom 14. November 2003 darauf hingewiesen, die Beschwerdeführerin sei äusserst motiviert und ehrgeizig (IV-act. 62-132). Sie selbst hatte offenbar die Möglichkeit erwähnt, ihren Sohn durch ihre Mutter und Schwiegermutter betreuen zu lassen. In der Beschwerdeantwort weist die Beschwerdegegnerin lediglich darauf hin, es gäbe keine Hinweise auf ein höheres Pensum (voll erwerbstätiger Ehemann, Mietwohnung, keine Hinweise auf finanzielle Notlage). Da die IV-Stelle einen rechtsverändernden Eingriff in ein Dauerschuldverhältnis vornehmen will, trägt sie die Beweisführungslast bzw. das Risiko der Beweislosigkeit bei der Eruierung der Tatsachengrundlagen für diesen Eingriff, nicht etwa die Beschwerdeführerin (vgl. den bereits zitierten Entscheid IV 2006/214, Erw. 4.2). Das Fehlen von Hinweisen reicht also zur Begründung der Umqualifikation nicht aus. Dass die Beschwerdeführerin und ihr Ehemann heute in einer Mietwohnung leben, muss nicht zwingend heissen, dass sie dies auch im Gesundheitsfall der Beschwerdeführerin getan hätten. Es ist ohnehin nicht ersichtlich, wie man aus irgendwelchen Wohnverhältnissen triftige Rückschlüsse für die hypothetische Lebensentwicklung gewinnen könnte. Ohne jegliche Abklärungen zur finanziellen Situation des Ehepaars geht es jedenfalls nicht an, dieses Argument als Indiz für einen Statuswechsel zu werten. 2.6  Die Beschwerdegegnerin hat folglich mit der angezeigten Sorgfalt abzuklären, mit welchem Pensum die Beschwerdeführerin als Gesunde hypothetisch erwerbstätig wäre. Sie hat diese Abklärungen zu früh eingestellt. Sie hat auch den hypothetischen zeitlichen Verlauf zu beachten; im Zeitpunkt der angefochtenen Verfügung war der Sohn der Beschwerdeführerin anderthalb Jahre alt und damit kein Säugling mehr. Selbst wenn die Beschwerdeführerin zu jener Zeit als Gesunde lediglich zu 40% erwerbstätig gewesen wäre, müsste dies am Rande bemerkt heute nicht mehr der Fall sein. Dem Risiko, dass die Beschwerdeführerin im Rahmen der weiteren Abklärungen gezielt ergebnisbezogene Antworten liefert, kann durch sorgfältige Fragestellung – etwa konkret zur Betreuungssituation des Kindes – vorgebeugt werden. 2.7  Sollten die Abklärungen eine Umqualifikation der Beschwerdeführerin wegen Fehlens von triftigen Gründen nicht als zwingend notwendig erscheinen lassen, hätte die Revision mangels Revisionsgrunds zu unterbleiben, zumal der Beschwerdegegnerin zuzustimmen ist, dass die medizinische Aktenlage die Vornahme einer Revision nicht rechtfertigt, wie nachfolgend zu zeigen ist.</w:t>
      </w:r>
    </w:p>
    <w:p>
      <w:r>
        <w:rPr>
          <w:b/>
        </w:rPr>
        <w:t>E. 3</w:t>
      </w:r>
    </w:p>
    <w:p>
      <w:r>
        <w:t>3.1  Die Beschwerdeführerin konnte im Herbst 2001 bei ihrer ehemaligen Arbeitgeberin in einer neuen, ihren körperlichen Einschränkungen besser angepassten Tätigkeit ein Erwerbspensum von 50% erfüllen (vgl. IV-act. 19; 20). Einige Wochen vor der Geburt ihres Kindes gab sie diese Tätigkeit per Ende 2005 auf. Prof. Dr. A.___ hatte am 26. Februar 2002 ab 3. September 2001 eine Arbeitsfähigkeit von 50% bescheinigt (IV-act. 18). Die im Arztbericht vom 11. April 2007 erwähnte Verschlechterung des Gesundheitszustands begründete er mit vermehrten Schmerzen und Bewegungseinschränkungen in den Bereichen der HWS und der LWS und wies auf Myogelosen paraspinal hin. Als Drogistin im Aussendienst sei die Beschwerdeführerin nicht mehr arbeitsfähig. Eine sitzende Tätigkeit mit wechselnder Bewegung und ohne Heben sei der Beschwerdeführerin noch maximal zwei bis drei Stunden täglich zumutbar (IV-act. 56-1; 56-3). 3.2  Dr. B.___ anerkannte in seinem Gutachten vom 30. Mai 2007 in einer optimal adaptierten Tätigkeit lediglich eine Einschränkung in der Arbeitsfähigkeit von 25%. Ob seine Schätzung zu tief greift, braucht nicht abschliessend beurteilt zu werden. Der zuständige RAD-Arzt wies in seiner Stellungnahme vom 31. August 2007 zu Recht darauf hin, dass seit 2001 keine wesentliche und anhaltende Besserung des Gesundheitszustands ausgewiesen sei. Auf eine wesentliche und anhaltende Verschlechterung kann aber ebenfalls nicht geschlossen werden. Seit 2001 bis kurz vor der Geburt ihres Sohnes im Februar 2006 schöpfte die Beschwerdeführerin die ihr verbleibende Arbeitsfähigkeit von 50% aus. Eine seither eingetretene Verschlechterung des Gesundheitszustands lässt sich nicht objektivieren. Im Rahmen der Cervikalgie bei degenerierter Bandscheibe C5/6 mit flächenhafter medianer Diskushernie wurde keine Kompression neuraler Strukturen erkannt, sodass sich die HWS-Problematik offenbar nicht zusätzlich invalidisierend auswirkt, wie Dr. B.___ festhält (IV-act. 69-8 unten). Die radiologisch dargestellten, nicht sehr ausgeprägten zwei­eta­gigen degenerativen Veränderungen der LWS und die linkskonvexe Skoliosefehlhaltung berücksichtigte der Gutachter in der Arbeitsfähigkeitsschätzung. Dasselbe gilt für die Hüft-, Knie- und Fussprobleme (IV-act. 69-9). Insgesamt wurden keine Befunde erhoben, die eine namhafte und anhaltende Verschlechterung des Gesundheitszustands mit negativen Auswirkungen auf die Arbeitsfähigkeit der Beschwerdeführerin als überwiegend wahrscheinlich erscheinen lassen würden. Die nur knapp begründete Einschätzung von Prof. Dr. A.___ vermag daran nichts zu ändern. Auch die Chiropraktorin Dr. D.___ nannte in ihrem Bericht vom 25. Januar 2008 keine Befunde, die eine 50% überschreitende Arbeitsunfähigkeit nahelegen würden; eine eigene Arbeitsfähigkeitsschätzung gibt sie nicht ab (act. G 8.1). Mit dem RAD-Arzt ist demzufolge mit überwiegender Wahrscheinlichkeit von einem im Wesentlichen unveränderten Gesundheitszustand und einer Arbeitsfähigkeit von weiterhin 50% auszugehen (IV-act. 77-2). Medizinischerseits erscheint eine Rentenrevision somit nicht als angezeigt. Die Beschwerdeführerin selbst hatte im Fragebogen vom 26. Oktober 2006 zur Rentenrevision ihren Gesundheitszustand übrigens als gleich geblieben empfunden (IV-act. 45).</w:t>
      </w:r>
    </w:p>
    <w:p>
      <w:r>
        <w:rPr>
          <w:b/>
        </w:rPr>
        <w:t>E. 4</w:t>
      </w:r>
    </w:p>
    <w:p>
      <w:r>
        <w:t>4.1  Die Beschwerde ist unter Aufhebung der angefochtenen Verfügung teilweise gutzuheissen. Die Sache ist an die Beschwerdegegnerin zurückzuweisen, damit sie in Bezug auf den Status der Beschwerdeführerin weitere Abklärungen vornehme. Ergeben diese Abklärungen zwingende Gründe zur Vornahme des Statuswechsels, so ist der Invaliditätsgrad der Beschwerdeführerin unter Anwendung der gemischten Methode neu zu bemessen. Diesfalls wäre die Haushaltabklärung nochmals zu überprüfen, zumal die Beschwerdeführerin den Abklärungsbericht vom 21. August 2007 nicht unterzeichnet hat und mehrere Positionen Fragen aufwerfen. So erscheint als höchst fraglich, dass die Betreuung des im Zeitpunkt der Haushaltabklärung anderthalbjährigen Sohnes der Beschwerdeführerin insgesamt tatsächlich nur eine Stunde täglich beanspruchen soll. Weiter dürfte die vom offenbar voll erwerbstätigen Ehemann der Beschwerdeführerin verlangte Mithilfe im Haushalt zumindest überstrapaziert worden sein. Es ist zudem kaum nachvollziehbar, dass die Beschwerdeführerin trotz ihrer massiven körperlichen Behinderung etwa in den Bereichen Einkauf und weitere Besorgungen sowie Kinderbetreuung gar keine Einschränkungen aufweisen soll. Die Ergebnisse der überarbeiteten Haushaltabklärung wären einem medizinischen Gutachter zur Beurteilung der Plausibilität aus medizinischer Sicht vorzulegen.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4.3  Bei diesem Verfahrensausgang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28. September 2007 teilweise gutgeheissen und die Sache an die Beschwerdegegnerin zurückgewiesen, damit diese im Sinn der Erwägungen weitere Abklärungen vornehme und anschliessend neu verfüge. 2.  Die Beschwerdegegnerin hat die Gerichtskosten von Fr. 600.- zu bezahlen. Der geleistete Vorschuss von Fr. 600.--wird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